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Справка </w:t>
      </w:r>
    </w:p>
    <w:p>
      <w:pPr>
        <w:spacing w:after="0" w:line="240" w:lineRule="auto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cs="PT Astra Serif" w:eastAsia="PT Astra Serif"/>
          <w:b/>
          <w:color w:val="000000" w:themeColor="text1"/>
          <w:sz w:val="28"/>
          <w:szCs w:val="28"/>
        </w:rPr>
        <w:t xml:space="preserve">о результатах проведенного в 2022 году мониторинга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 национальной цели «Цифровая трансформация» Указа Президента РФ от 21 июля 2020 года № 474 «О национальных целях развития Российской Федерации на период </w:t>
      </w:r>
      <w:r>
        <w:rPr>
          <w:rFonts w:ascii="PT Astra Serif" w:hAnsi="PT Astra Serif" w:cs="PT Astra Serif" w:eastAsia="PT Astra Serif"/>
          <w:b/>
          <w:color w:val="000000" w:themeColor="text1"/>
          <w:sz w:val="28"/>
          <w:szCs w:val="28"/>
        </w:rPr>
        <w:br/>
        <w:t xml:space="preserve">до 2030 года» на уровне субъекта Российской Федерации</w:t>
      </w:r>
    </w:p>
    <w:p>
      <w:pPr>
        <w:spacing w:after="0" w:line="240" w:lineRule="auto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 w:eastAsia="PT Astra Serif"/>
          <w:color w:val="000000" w:themeColor="text1"/>
          <w:sz w:val="28"/>
        </w:rPr>
        <w:t xml:space="preserve">В У</w:t>
      </w:r>
      <w:hyperlink r:id="rId8" w:tooltip="https://strategy.cdto.ranepa.ru/4-2-cifrovaya-zrelost#link93" w:anchor="link93" w:history="1">
        <w:r>
          <w:rPr>
            <w:rStyle w:val="af1"/>
            <w:rFonts w:ascii="PT Astra Serif" w:hAnsi="PT Astra Serif" w:cs="PT Astra Serif" w:eastAsia="PT Astra Serif"/>
            <w:color w:val="000000" w:themeColor="text1"/>
            <w:sz w:val="28"/>
            <w:u w:val="none"/>
          </w:rPr>
          <w:t xml:space="preserve">казе Президента Российской Ф</w:t>
        </w:r>
      </w:hyperlink>
      <w:r>
        <w:rPr>
          <w:rFonts w:ascii="PT Astra Serif" w:hAnsi="PT Astra Serif" w:cs="PT Astra Serif" w:eastAsia="PT Astra Serif"/>
          <w:color w:val="000000" w:themeColor="text1"/>
          <w:sz w:val="28"/>
        </w:rPr>
        <w:t xml:space="preserve">едерации от 21.07.2020 № 474  </w:t>
      </w:r>
      <w:r>
        <w:rPr>
          <w:rFonts w:ascii="PT Astra Serif" w:hAnsi="PT Astra Serif" w:cs="PT Astra Serif" w:eastAsia="PT Astra Serif"/>
          <w:color w:val="000000" w:themeColor="text1"/>
          <w:sz w:val="28"/>
        </w:rPr>
        <w:br/>
        <w:t xml:space="preserve">«О национальных целях развития Российской Федерации на период до 2030 года» в качестве одного из целевых показателей национальной цели «цифровая трансформация» указано достижение «цифровой зрелости» ключевых отраслей экономики и социальной сферы. </w:t>
      </w:r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lang w:eastAsia="ru-RU"/>
        </w:rPr>
        <w:t xml:space="preserve">Для расчета показателей, входящих в оценку уровня «цифровой зрелости» государственного управления на уровне субъекта РФ разработана методика.</w:t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lang w:eastAsia="ru-RU"/>
        </w:rPr>
        <w:t xml:space="preserve">Одним из показателей оценки уровня «цифровой зрелости» является «Доля обращений за получением массовых социально значимых государственных и муниципальных услуг в электронном виде </w:t>
      </w:r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lang w:eastAsia="ru-RU"/>
        </w:rPr>
        <w:br/>
        <w:t xml:space="preserve">с использованием Единого портала государственных и муниципальных услуг (функций) (далее - ЕПГУ), без необходимости личного посещения органов государственной власти, органов местного самоуправления </w:t>
      </w:r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lang w:eastAsia="ru-RU"/>
        </w:rPr>
        <w:br/>
        <w:t xml:space="preserve">и многофункциональных центров предоставления государственных </w:t>
      </w:r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lang w:eastAsia="ru-RU"/>
        </w:rPr>
        <w:br/>
        <w:t xml:space="preserve">и муниципальных услуг, в общем количестве таких услуг». По состоянию </w:t>
      </w:r>
      <w:r>
        <w:rPr>
          <w:rFonts w:ascii="PT Astra Serif" w:hAnsi="PT Astra Serif" w:cs="PT Astra Serif" w:eastAsia="PT Astra Serif"/>
          <w:color w:val="000000" w:themeColor="text1"/>
          <w:sz w:val="28"/>
          <w:szCs w:val="28"/>
          <w:lang w:eastAsia="ru-RU"/>
        </w:rPr>
        <w:br/>
        <w:t xml:space="preserve">на конец 2022 года указанный показатель составляет 30,47%, что является низким уровнем.</w:t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tbl>
      <w:tblPr>
        <w:tblStyle w:val="af0"/>
        <w:tblW w:w="9889" w:type="dxa"/>
        <w:tblLayout w:type="fixed"/>
        <w:tblLook w:val="04A0" w:firstRow="1" w:lastRow="0" w:firstColumn="1" w:lastColumn="0" w:noHBand="0" w:noVBand="1"/>
      </w:tblPr>
      <w:tblGrid>
        <w:gridCol w:w="615"/>
        <w:gridCol w:w="6014"/>
        <w:gridCol w:w="1701"/>
        <w:gridCol w:w="1559"/>
      </w:tblGrid>
      <w:tr>
        <w:tc>
          <w:tcPr>
            <w:tcW w:w="615" w:type="dxa"/>
            <w:vAlign w:val="center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  <w:t xml:space="preserve">№ п/п</w:t>
            </w:r>
          </w:p>
        </w:tc>
        <w:tc>
          <w:tcPr>
            <w:tcW w:w="6014" w:type="dxa"/>
            <w:vAlign w:val="center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  <w:t xml:space="preserve">Исполнительный орган Томской области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  <w:t xml:space="preserve">Доля обращений за получением МСЗУ в электронном виде с использованием ЕПГУ в 2022 году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  <w:t xml:space="preserve">Целевое значение на 2022 год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ветеринарии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100%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по управлению государственной собственностью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25,7%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ЖКХ и государственного жилищного надзора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33,3%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Главная инспекция государственного строительного надзора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0%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5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Комитет по охране объектов культурного наследия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9%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6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по культуре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0%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7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лесного хозяйства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24,4%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8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лицензирования и регионального государственного контроля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10,5%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по молодежной политике, физической культуре и спорту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0%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10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общего образования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3,5%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11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охотничьего и рыбного хозяйства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2,8%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12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профессионального образования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0,7%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13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по вопросам семьи и детей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0%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14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социальной защиты населения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50,7%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15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Инспекция государственного технического надзора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1,6%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16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транспорта, дорожной деятельности и связи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0%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  <w:tr>
        <w:tc>
          <w:tcPr>
            <w:tcW w:w="615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17</w:t>
            </w:r>
          </w:p>
        </w:tc>
        <w:tc>
          <w:tcPr>
            <w:tcW w:w="6014" w:type="dxa"/>
          </w:tcPr>
          <w:p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Департамент архитектуры и строительства Томской области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0%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30%</w:t>
            </w:r>
          </w:p>
        </w:tc>
      </w:tr>
    </w:tbl>
    <w:p>
      <w:pPr>
        <w:rPr>
          <w:rFonts w:ascii="PT Astra Serif" w:hAnsi="PT Astra Serif" w:cs="PT Astra Serif"/>
          <w:color w:val="000000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>
      <w:pPr>
        <w:rPr>
          <w:rFonts w:ascii="PT Astra Serif" w:hAnsi="PT Astra Serif" w:cs="PT Astra Serif"/>
          <w:color w:val="00000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cs="Arial"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cs="Arial"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cs="Arial" w:eastAsia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cs="Arial" w:eastAsia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cs="Arial" w:eastAsia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cs="Arial" w:eastAsia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cs="Arial" w:eastAsia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cs="Arial" w:eastAsia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cs="Arial" w:eastAsia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cs="Arial" w:eastAsia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cs="Arial" w:eastAsia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cs="Arial" w:eastAsia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cs="Arial" w:eastAsia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cs="Arial" w:eastAsia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cs="Arial" w:eastAsia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cs="Arial" w:eastAsia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cs="Arial" w:eastAsia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cs="Arial" w:eastAsia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cs="Arial" w:eastAsia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cs="Arial" w:eastAsia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strategy.cdto.ranepa.ru/4-2-cifrovaya-zrelos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haracters>2573</Characters>
  <CharactersWithSpaces>3018</CharactersWithSpaces>
  <Company/>
  <DocSecurity>0</DocSecurity>
  <HyperlinksChanged>false</HyperlinksChanged>
  <Lines>21</Lines>
  <LinksUpToDate>false</LinksUpToDate>
  <Pages>2</Pages>
  <Paragraphs>6</Paragraphs>
  <ScaleCrop>false</ScaleCrop>
  <SharedDoc>false</SharedDoc>
  <Template>Normal.dotm</Template>
  <TotalTime>0</TotalTime>
  <Words>451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документооборот Directum</cp:lastModifiedBy>
  <cp:revision>25</cp:revision>
  <dcterms:created xsi:type="dcterms:W3CDTF">2021-05-21T03:21:00Z</dcterms:created>
  <dcterms:modified xsi:type="dcterms:W3CDTF">2023-01-25T05:11:00Z</dcterms:modified>
</cp:coreProperties>
</file>